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Указ Президента РФ от 1 июня 2012 г. N 761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7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Правительству Российской Федерации: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а) в 3-месячный срок утвердить </w:t>
      </w:r>
      <w:hyperlink r:id="rId9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10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11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172B1" w:rsidRPr="002172B1" w:rsidTr="002172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172B1" w:rsidRPr="002172B1" w:rsidRDefault="002172B1" w:rsidP="002172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</w:t>
            </w: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172B1" w:rsidRPr="002172B1" w:rsidRDefault="002172B1" w:rsidP="002172B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72B1">
              <w:rPr>
                <w:rFonts w:eastAsia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Москва, Кремль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 июня 2012 года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N 761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(утв. </w:t>
      </w:r>
      <w:hyperlink r:id="rId1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Президента РФ от 1 июня 2012 г. N 761)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I. Введение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13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4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</w:t>
      </w:r>
      <w:bookmarkStart w:id="0" w:name="_GoBack"/>
      <w:bookmarkEnd w:id="0"/>
      <w:r w:rsidRPr="002172B1">
        <w:rPr>
          <w:rFonts w:eastAsia="Times New Roman" w:cs="Times New Roman"/>
          <w:sz w:val="24"/>
          <w:szCs w:val="24"/>
          <w:lang w:eastAsia="ru-RU"/>
        </w:rPr>
        <w:t xml:space="preserve">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5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6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Основные проблемы в сфере детства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Нарастание новых рисков, связанных с распространением информации, представляющей опасность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Ключевые принципы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10024"/>
      <w:bookmarkEnd w:id="1"/>
      <w:r w:rsidRPr="002172B1">
        <w:rPr>
          <w:rFonts w:eastAsia="Times New Roman" w:cs="Times New Roman"/>
          <w:sz w:val="24"/>
          <w:szCs w:val="24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* * *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II. Семейная политика детствосбережения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2" w:name="10042"/>
      <w:bookmarkEnd w:id="2"/>
      <w:r w:rsidRPr="002172B1">
        <w:rPr>
          <w:rFonts w:eastAsia="Times New Roman" w:cs="Times New Roman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Разработка и принятие </w:t>
      </w:r>
      <w:hyperlink r:id="rId17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Стратегии развития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индустрии детских товаров на период до 2020 года и </w:t>
      </w:r>
      <w:hyperlink r:id="rId18" w:anchor="block_2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Снижение численности семей, находящихся в социально опасном положении.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в обществе ценностей семьи, ребенка, ответственного родительства.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ГАРАНТ: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См. </w:t>
      </w:r>
      <w:hyperlink r:id="rId19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Модельную методику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2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Минобрнауки России от 25 июня 2012 г. N ИБ-908/02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алкоголизмом, преступностью, проституцией; разработка эффективных механизмов профилактики девиантного поведения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8.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Расширение возможностей обучения детей с ограниченными возможностями здоровья в общеобразовательных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Осуществление мер по совершенствованию системы обеспечения качественным горячим питанием воспитанников дошкольных учреждений и обучающихся в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общеобразовательных учреждениях и учреждениях начального профессионального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числа подростковых суицидов.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Доступность отдыха и оздоровления для всех категорий детей с учетом их индивидуальных потребностей.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Переход к системе открытого усыновления с отказом от тайны усыновления.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Активизация работы по устранению различных барьеров в рамках реализации </w:t>
      </w:r>
      <w:hyperlink r:id="rId21" w:anchor="block_10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Ратификация </w:t>
      </w:r>
      <w:hyperlink r:id="rId2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3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4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В целях развития дружественного к ребенку правосудия предусматривается: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5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 правах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спектра мер воспитательного характера.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Привлечение детей к участию в общественной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Разработка и внедрение в практику стандартов и методик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Внесение изменений в </w:t>
      </w:r>
      <w:hyperlink r:id="rId26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групп, а также о ресурсном обеспечении процесса участия детей в принятии указанных решений.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4. Ожидаемые результаты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VIII. Механизм реализации Национальной стратегии</w:t>
      </w:r>
    </w:p>
    <w:p w:rsidR="002172B1" w:rsidRPr="002172B1" w:rsidRDefault="002172B1" w:rsidP="00217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br/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27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28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29" w:anchor="block_1000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Национальную стратегию предусматривается реализовать в два этапа: первый в 2012 - 2014 годах и второй в 2015 - 2017 годах.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B0309F" w:rsidRDefault="00B0309F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Default="002172B1"/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   1 июня 2012 года в соответствии с Указом Президента РФ № 761 вступила в законную силу </w:t>
      </w:r>
      <w:hyperlink r:id="rId30" w:history="1">
        <w:r w:rsidRPr="002172B1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Национальная стратегия действий в интересах детей на 2012 - 2017 годы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(далее –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своих комментариях к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остановлюсь на тех её моментах, которые представляются принципиально важными для понимания сути данного документа в целом.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Вопреки правилам формальной логики следует начать, на мой взгляд, с одного из  заключительных положений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, а именно – с раздела VI, так как здесь содержатся номы, которые определяют основную направленность документа и носят наиболее яркую «ювенальную окраску».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Раздел VI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называется «СОЗДАНИЕ СИСТЕМЫ ЗАЩИТЫ И ОБЕСПЕЧЕНИЯ ПРАВ И ИНТЕРЕСОВ ДЕТЕЙ И ДРУЖЕСТВЕННОГО К РЕБЕНКУ ПРАВОСУДИЯ».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   Практически первое, что мы с удивлением узнаём из указанного раздела – это то, что, оказывается,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значительная часть преступлений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против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жизни, здоровья и половой неприкосновенности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детей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совершается в семье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, а также лицами, обязанными по закону заботиться о ребенке»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VI, п.1, абз. 3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 xml:space="preserve">     Тезис о том, что значительная часть преступлений против детей совершается в семье, требует более пристального к себе внимания, поскольку он является основополагающим и определяющим логику законодателя в плане дальнейшего нормативного регулирования. Прошу заметить – ни на улицах и перекрестках, ни в подворотнях и переходах, ни в клубах и дискотеках, ни в каких-то других местах, а именно –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 семье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таится настоящая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угроза для детей!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Иными словами, «семья – это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потенциально опасная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среда в жизни ребенка». Именно такую мысль старается навязать обществу законодатель, когда говорит о «значительности» семейного насилия.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Теперь давайте посмотрим, насколько «опасна» для ребенка семья на самом деле.  Для этого достаточно привести всего лишь одну цифру. По данным, размещенным на сайте информационно-аналитической службы «Русская народная линия», со ссылкой на статистику МВД России за 2011 год (Ф. 455 кн. 709 ГИАЦ МВД России), «относительно общей численности детей, проживающих в России, число несовершеннолетних жертв семейного насилия составляет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0,02%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». При этом отмечается, что в целом по стране за последние годы «зафиксировано снижение числа преступлений, совершенных в отношении несовершеннолетних» (более подробно см. </w:t>
      </w:r>
      <w:hyperlink r:id="rId31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http://b23.ru/yu4g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). Согласитесь, статистика весьма красноречива, и вряд ли цифру «0,02%» можно назвать «значительной». 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Постулирование заведомо несоответствующего действительности тезиса о «значительном» семейном насилии в России, а также постоянное педалирование и раздувание этой темы в СМИ, вне всяких сомнений, действует крайне разрушительно на институт семьи и пагубно влияет на общественное сознание. Однако «ювенальщикам» без него не обойтись, иначе они не смогли бы двигаться дальше и вводить своё законодательство в сфере семейных отношений. Ведь, если семья представляет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потенциальную опасность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для ребенка, значит именно туда и следует направить весь арсенал  средств и методов нормативно-правового регулирования.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Что и демонстрирует нам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когда в целях «обеспечения соблюдения прав и законных интересов ребенка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 семье</w:t>
      </w:r>
      <w:r w:rsidRPr="002172B1">
        <w:rPr>
          <w:rFonts w:eastAsia="Times New Roman" w:cs="Times New Roman"/>
          <w:sz w:val="24"/>
          <w:szCs w:val="24"/>
          <w:lang w:eastAsia="ru-RU"/>
        </w:rPr>
        <w:t>» устанавливает  принцип 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своевременного выявления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их нарушений» (раздел I, п. 2, абз. 1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На протяжении всего дальнейшего текста данный принцип развивается и конкретизируется.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Так, в качестве одной из задач «семейной политики детствосбережения» названо «обеспечение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профилактики семейного неблагополучия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основанной на его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раннем выявлении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II, п. 2, абз. 4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числе мер, направленных на «формирование безопасного и комфортного семейного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окружения для детей» должно быть «формирование действенных механизмов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раннего выявления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sz w:val="24"/>
          <w:szCs w:val="24"/>
          <w:lang w:eastAsia="ru-RU"/>
        </w:rPr>
        <w:t>жестокого обращения и насилия в отношении ребенка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II,  п. 5, абз.7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Для реформирования действующего законодательства предписывается, в том числе, совершенствовать работу органов опеки и попечительства, и усилить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профилактические меры</w:t>
      </w:r>
      <w:r w:rsidRPr="002172B1">
        <w:rPr>
          <w:rFonts w:eastAsia="Times New Roman" w:cs="Times New Roman"/>
          <w:sz w:val="24"/>
          <w:szCs w:val="24"/>
          <w:lang w:eastAsia="ru-RU"/>
        </w:rPr>
        <w:t>»  по «защите прав и интересов детей, находящихся в социально опасном положении», на основе обеспечения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раннего выявления семей</w:t>
      </w:r>
      <w:r w:rsidRPr="002172B1">
        <w:rPr>
          <w:rFonts w:eastAsia="Times New Roman" w:cs="Times New Roman"/>
          <w:sz w:val="24"/>
          <w:szCs w:val="24"/>
          <w:lang w:eastAsia="ru-RU"/>
        </w:rPr>
        <w:t>, находящихся в кризисной ситуации» (раздел VI, п. 3, абз. 9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 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  Что такое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профилактические меры</w:t>
      </w:r>
      <w:r w:rsidRPr="002172B1">
        <w:rPr>
          <w:rFonts w:eastAsia="Times New Roman" w:cs="Times New Roman"/>
          <w:sz w:val="24"/>
          <w:szCs w:val="24"/>
          <w:lang w:eastAsia="ru-RU"/>
        </w:rPr>
        <w:t>» и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раннее выявление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уже наглядно было показано в законопроекте, получившем  название «О социальном патронате» (пока, к счастью, непринятом), в соответствии с которым органы опеки и попечительства наделены правом вмешиваться в дела любой семьи, которая, по их мнению, находится в «социально опасном положении» (более подробно см., напр., </w:t>
      </w:r>
      <w:hyperlink r:id="rId32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http://b23.ru/ydlo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 xml:space="preserve"> ,  </w:t>
      </w:r>
      <w:hyperlink r:id="rId33" w:history="1">
        <w:r w:rsidRPr="002172B1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http://eot.su/node/13228</w:t>
        </w:r>
      </w:hyperlink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Таким образом, на протяжении всего текста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мы видим, по существу, введение в российское законодательство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презумпции виновности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, как субъекта права. С другой стороны, семья, как объект защиты этого права, практически исчезает. Иначе говоря, заранее предполагается, что в любой момент интересы ребенка в семье могут быть нарушены, а чтобы этого не произошло, как раз и требуется установить специальные нормы, которые позволили бы, например, органам опеки и попечительства иметь беспрепятственный доступ в каждую семью, дабы обеспечить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раннее выявление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>  таких нарушений.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презумпция виновности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вступает в противоречие не только с основными началами и принципами семейного законодательства, которое, кстати, и предлагается «привести в соответствие»,  но и с конституционными установлениями.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Рассмотрим несколько основных норм Конституции Российской Федерации и ныне действующего семейного права, отраженного в Семейном кодексе Российской Федерации (далее – СК РФ).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Конституции РФ закреплено, что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материнство и детство, семья находятся под защитой государства</w:t>
      </w:r>
      <w:r w:rsidRPr="002172B1">
        <w:rPr>
          <w:rFonts w:eastAsia="Times New Roman" w:cs="Times New Roman"/>
          <w:sz w:val="24"/>
          <w:szCs w:val="24"/>
          <w:lang w:eastAsia="ru-RU"/>
        </w:rPr>
        <w:t>», и что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забота о детях, их воспитание – равное право и обязанность 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>» (пп.1и 2, ст. 38 Конституции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Семья, материнство, отцовство и детство в Российской Федерации находятся под защитой государства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Семейное законодательство исходит из необходимости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укрепления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построения семейных отношений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чувствах взаимной любви и уважения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взаимопомощи и ответственности перед семьей всех ее членов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недопустимости произвольного вмешательства кого-либо в дела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…» (п. 1, ст. 1 СК РФ)…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 имеют равные права и несут равные обязанности в отношении своих 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(родительские права)</w:t>
      </w:r>
      <w:r w:rsidRPr="002172B1">
        <w:rPr>
          <w:rFonts w:eastAsia="Times New Roman" w:cs="Times New Roman"/>
          <w:sz w:val="24"/>
          <w:szCs w:val="24"/>
          <w:lang w:eastAsia="ru-RU"/>
        </w:rPr>
        <w:t>» (п. 1, ст. 61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 имеют право и обязаны воспитывать своих 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>» (п. 1, ст. 63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Как видим, провозглашенный в семейном праве принцип укрепления семьи и конституционное право родителей самостоятельно воспитывать своих детей без постороннего вмешательства, никак не увязываются с принципом «раннего выявления» нарушений прав ребенка в семье. Какое может быть право на воспитание своего ребенка и укрепление семьи, когда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любой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момент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любую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семью в целях «профилактики» и «раннего выявления» могут придти люди, наделенные государством соответствующими полномочиями, и вмешаться в </w:t>
      </w:r>
      <w:r w:rsidRPr="002172B1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любые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внутрисемейные отношения.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Что же касается ситуаций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реальной опасности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>, в которых действительно может оказаться ребенок, то здесь всё давно проработано. Семейный кодекс Российской Федерации в таких случаях предусматривает следующее: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«При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    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Федерации» (ст. 77, п. 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Поэтому, учитывая не столь многочисленные (вспомним 0,02% по стране) случаи семейного насилия, которые все-таки имеют место, названной нормы представляется вполне достаточным для помощи детям, попавшим в тяжелые жизненные обстоятельства.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Говоря о противоречиях содержания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 основами всего остального действующего законодательства, и прежде всего, с вышеупомянутыми конституционными нормами, нельзя не обратить внимание на текстовое построение раздела I «Введение»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,  который и «задает тон» всему документу.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начинается ссылкой на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Всеобщую декларацию прав человека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согласно которой «дети имеют право на особую заботу и помощь». Далее законодатель, как бы, вспомнив про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Основной Закон своей страны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говорит о том, что «Конституция Российской Федерации гарантирует государственную поддержку семьи, материнства и детства». А затем, посчитав, вероятно, формальность выполненной, вновь обращается к международному законодательству и устанавливает, что, «подписав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Конвенцию о правах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иные международные акты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дальнейшем тексте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мы уже больше не встретим ссылок на Конституцию РФ и другое национальное законодательство, зато без труда найдем множество отсылочных норм, апеллирующих к различным «международным» актам.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Так, например,  в разделе о «семейной политике детствосбережения» в качестве одной из мер, нацеленных на  «формирование безопасного и комфортного семейного окружения для детей» признаётся необходимым направить усилия на «реализацию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политике в поддержку позитивного родительства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II, п.5, абз. 4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разделе, посвященном «детям, нуждающимся в особой заботе» предлагается «разработать меры, направленные на защиту прав и интересов детей-сирот и детей, оставшихся без попечения родителей»,  в числе которых называется «обеспечение выполнения в учреждениях для детей-сирот и детей, оставшихся без попечения родителей,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правах детей, находящихся в учреждениях опеки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(раздел V, п. 3, абз. 10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Из раздела, регламентирующего создание системы «дружественного к ребенку правосудия» мы узнаём, что «в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Конвенции о правах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заключительных замечаний Комитета ООН по правам ребенка</w:t>
      </w:r>
      <w:r w:rsidRPr="002172B1">
        <w:rPr>
          <w:rFonts w:eastAsia="Times New Roman" w:cs="Times New Roman"/>
          <w:sz w:val="24"/>
          <w:szCs w:val="24"/>
          <w:lang w:eastAsia="ru-RU"/>
        </w:rPr>
        <w:t>…» (раздел VI, п.1, абз.1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целях развития «дружественного к ребенку правосудия» предусматривается, в том числе, и «обеспечение выполнения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Минимальных стандартных правил ООН, касающихся отправления правосудия в отношении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Пекинские правила 1985 года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Руководящих принципов ООН для предупреждения преступности среди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Эр-Риядские руководящие принципы 1990 года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4, абз. 6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Перечень отсылочных норм такого свойства можно продолжать. Хотя в исследуемом документе и сказано, что «Национальная стратегия разработана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 учетом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Стратегии Совета Европы по защите прав ребенка на 2012 - 2015 годы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…» (см. раздел I, п. 2 «Ключевые принципы Национальной стратегии»), однако создается полное ощущение,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что Евросоюз вместе с «дружественным» международным сообществом просто навязывает нам свои «рекомендации». Россия же должна действовать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не «с учётом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2172B1">
        <w:rPr>
          <w:rFonts w:eastAsia="Times New Roman" w:cs="Times New Roman"/>
          <w:sz w:val="24"/>
          <w:szCs w:val="24"/>
          <w:lang w:eastAsia="ru-RU"/>
        </w:rPr>
        <w:t>, а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 исполнение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данных «рекомендаций». В таком случае становится не совсем непонятно,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 xml:space="preserve">почему данная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 xml:space="preserve"> именуется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Национальной</w:t>
      </w:r>
      <w:r w:rsidRPr="002172B1">
        <w:rPr>
          <w:rFonts w:eastAsia="Times New Roman" w:cs="Times New Roman"/>
          <w:sz w:val="24"/>
          <w:szCs w:val="24"/>
          <w:lang w:eastAsia="ru-RU"/>
        </w:rPr>
        <w:t>»? Оставляю этот вопрос открытым.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Дальше логика законодателя развивается  в русле усиления возможностей влияния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институт семьи</w:t>
      </w:r>
      <w:r w:rsidRPr="002172B1">
        <w:rPr>
          <w:rFonts w:eastAsia="Times New Roman" w:cs="Times New Roman"/>
          <w:sz w:val="24"/>
          <w:szCs w:val="24"/>
          <w:lang w:eastAsia="ru-RU"/>
        </w:rPr>
        <w:t>, так сказать, с другого края, или вернее, с тыла. Ведь недостаточно одного только вмешательства государственных чиновников в семейные дела, необходимо и ребенку предоставить возможность самому быть полноправным субъектом «взрослых» отношений, а, по существу, субъектом разложения семейных устоев изнутри.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Поэтому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предполагается в соответствии, опять-таки, «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 международными обязательствами Российской Федерации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обеспечить доступ  детей  к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вне  зависимости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от  их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процессуальной  правоспособности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 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статуса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, что  будет  способствовать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 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>созданию  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дружественного  к  ребенку  правосудия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1, абз. 2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Не говоря уже о том, для чего законодатель собирается «обеспечить доступ детей к правосудию», совершенно непонятно, каким образом он собирается это сделать  «вне зависимости от их процессуальной правоспособности и статуса»? И что понимает законодатель под «статусом ребенка» в данном контексте?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Ныне действующее процессуальное законодательство вкупе с семейным правом довольно четко регламентирует участие детей в гражданском судопроизводстве и административных правоотношениях. При этом представляется, что права детей в настоящее время и без того достаточно широки, чтобы расширять их еще больше, и даже делать независимыми от «процессуальной правоспособности».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Чтобы понять, насколько велик или мал спектр прав, обеспечивающих современному ребенку в России «доступ к правосудию», необходимо сделать краткий обзор текущего законодательства в этой сфере.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соответствии с Семейным кодексом Российской Федерации ребенком следует считать «лицо, не достигшее возраста восемнадцати лет (совершеннолетия)» (ст. 54, п.1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Согласно статье 36 Гражданского процессуального кодекса Российской Федерации (далее – ГПК РФ) «гражданская процессуальная правоспособность признается в равной мере за всеми гражданами и организациями, обладающими согласно законодательству Российской Федерации правом на судебную защиту прав, свобод и законных интересов».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Правоспособность, то есть способность иметь права и обязанности, всегда реализуется через дееспособность, то есть способность своими действиями осуществлять права и приобретать обязанности.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соответствии с пунктом 1 статьи 37 ГПК РФ «способность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возраста восемнадцати лет».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Несовершеннолетние в возрасте от 14 до 18 лет приравниваются в своих правах к ограниченно дееспособным совершеннолетним гражданам (за исключением случаев применения эмансипации в соответствии с главой 32 ГПК РФ). Права, свободы и законные интересы таких несовершеннолетних в процессе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защищают их законные представители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есть, главным образом – это, конечно же,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а также лица, их заменяющие. При этом устанавливается, что «суд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обязан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привлекать к участию в таких делах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самих несовершеннолетних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». Кроме того, по некоторым категориям гражданских, семейных, трудовых и иных дел закон предоставляет  несовершеннолетним в возрасте от 14 до 18 лет право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самостоятельно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отстаивать свои интересы в суде, но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может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(хотя и не обязан) привлекать к участию в деле 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законных представителей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(ст . 37, пп. 3 и 4 ГПК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    Несовершеннолетние в возрасте до 14 лет приравнены к недееспособным гражданам и их права, свободы и законные интересы также защищают в процессе их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законные представители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При этом суд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вправе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привлечь к участию в таких делах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только недееспособных совершеннолетних граждан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детей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же к участию в процессе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не привлекают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(ст. 37, п. 5 ГПК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Семейный кодекс Российской Федерации закрепляет право ребенка «на защиту своих прав и законных интересов» и указывает, что, за исключением случаев применения эмансипации,  данное право «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осуществляется родителями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(лицами, их заменяющими)…» (п. 1, ст. 56 СК РФ).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Таким образом, мы видим, что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правоспособность в процессуальном смысле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есть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 на самостоятельное участие в процессе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отправления правосудия по некоторым категориям дел, у несовершеннолетних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частично возникает лишь с 14 лет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В большинстве же случаев интересы ребенка в суде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представляют его родители</w:t>
      </w:r>
      <w:r w:rsidRPr="002172B1">
        <w:rPr>
          <w:rFonts w:eastAsia="Times New Roman" w:cs="Times New Roman"/>
          <w:sz w:val="24"/>
          <w:szCs w:val="24"/>
          <w:lang w:eastAsia="ru-RU"/>
        </w:rPr>
        <w:t>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Если следовать буквальному толкованию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а именно такое толкование представляется на данный момент единственно возможным, то получается, что все дети независимо от их возраста, могут сами обращаться в любые органы правосудия с различного рода заявлениями и жалобами, при условии умения писать. А если ребенок еще не умеет писать, то, вероятно, предполагается, что ему должны помочь это сделать соответствующие государственные органы. Тем более что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разделе «ДЕТИ - УЧАСТНИКИ РЕАЛИЗАЦИИ НАЦИОНАЛЬНОЙ СТРАТЕГИИ» предусматривает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воспитание у детей гражданственности, расширение их знаний в области прав человека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(раздел VII, п. 2, абз. 4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То есть, попросту говоря, едва взяв в руки букварь, ребенок уже будет получать знания о «правах человека», а значит, и о праве детей на «доступ к правосудию». Примечательно, что законодатель ставит воспитание гражданственности в один рад с «правами человека», а не в один ряд с воспитанием патриотизма, любви к Родине, воспитанием ответственности гражданина перед государством и обществом.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С введением принципа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доступа  детей  к правосудию  вне  зависимости  от  их  процессуальной  правоспособности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» в значительной степени нивелируется рассмотренный нами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институт законного представительства 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. Ведь, если ребенку предоставлено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право самостоятельно обращаться в судебные органы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то зачем ему для этого родители. Причем,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идет прямой намек именно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родителей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как на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потенциальных ответчиков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в таких делах. В противном случае, просто не имело бы смысла наделять детей такого рода независимостью, поскольку их права во всех сферах жизни всегда могут защитить родители. И только для того, чтобы пожаловаться на самих родителей, ребенку и требуется свободный  «доступ к правосудию».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Продолжая краткий обзор текущего законодательства в области прав детей, необходимо перечислить основные права, которыми сейчас обладают дети в сфере семейных отношений, и о части которых было упомянуто выше.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Глава 11 Семейного кодекса предусматривает следующие основные права ребенка: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жить и воспитываться в семье (ст. 54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общение с родителями и другими родственниками (ст. 55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защиту (ст. 56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выражать свое мнение (ст. 57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на имя, отчество и фамилию (ст. 58 СК РФ);</w:t>
      </w:r>
    </w:p>
    <w:p w:rsidR="002172B1" w:rsidRPr="002172B1" w:rsidRDefault="002172B1" w:rsidP="00217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имущественные права, в том числе право на получение содержания от своих родителей и других членов семьи (ст. 60 СК РФ).</w:t>
      </w:r>
    </w:p>
    <w:p w:rsidR="002172B1" w:rsidRPr="002172B1" w:rsidRDefault="002172B1" w:rsidP="002172B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72B1">
        <w:rPr>
          <w:rFonts w:eastAsia="Times New Roman" w:cs="Times New Roman"/>
          <w:sz w:val="24"/>
          <w:szCs w:val="24"/>
          <w:lang w:eastAsia="ru-RU"/>
        </w:rPr>
        <w:t>     Семейный кодекс Российской Федерации содержит также достаточно широкий перечень случаев, когда не просто учитывается мнение ребенка, а его согласие  на то или иное действие является обязательным.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     Так, например, «изменение имени и (или) фамилии ребенка, достигшего возраста десяти лет, может быть произведено только с его согласия» (ст. 59, п. 4 СК РФ); «восстановление в родительских правах в отношении ребенка, достигшего возраста десяти лет, возможно только с его согласия» (ст.72, п. 4 СК РФ); «для усыновления ребенка, достигшего возраста десяти лет, необходимо его согласие» (ст. 132, п. 1 СК РФ); «назначение опекуна ребенку, достигшему возраста десяти лет, осуществляется с его согласия» (ст. 145, п. 4 СК РФ). Современным законодательством предусматривается и ряд других обстоятельств, при возникновении которых согласие ребенка на что-либо признаётся обязательным.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Кроме того,  «ребенок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интересам» (ст. 57 СК РФ).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разработчикам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такой объем прав детей кажется явно недостаточным. Не достаточно им даже того, что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предписывает «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обеспечить доступ  детей  к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вне  зависимости  от  их  процессуальной  правоспособности</w:t>
      </w:r>
      <w:r w:rsidRPr="002172B1">
        <w:rPr>
          <w:rFonts w:eastAsia="Times New Roman" w:cs="Times New Roman"/>
          <w:sz w:val="24"/>
          <w:szCs w:val="24"/>
          <w:lang w:eastAsia="ru-RU"/>
        </w:rPr>
        <w:t>». Законодатель на этом не останавливается и идет еще дальше, когда «в целях развития дружественного к ребенку правосудия» признаёт необходимым «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принятие мер по обеспечению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доступа детей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172B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к международному правосудию</w:t>
      </w:r>
      <w:r w:rsidRPr="002172B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защиты их прав и интересов</w:t>
      </w:r>
      <w:r w:rsidRPr="002172B1">
        <w:rPr>
          <w:rFonts w:eastAsia="Times New Roman" w:cs="Times New Roman"/>
          <w:sz w:val="24"/>
          <w:szCs w:val="24"/>
          <w:lang w:eastAsia="ru-RU"/>
        </w:rPr>
        <w:t>» (раздел VI, п. 4, абз. 3 и 5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 Дальше уж, кажется, «расширять» права детей больше некуда. Комментировать такое нововведение довольно сложно, да и, по-моему, излишне, поскольку данная  норма говорит сама за себя не менее красноречиво, чем предыдущая. Скажу только, что законодатель, видимо, не очень надеясь на наше правосудие, оставляет ребенку возможность напрямую обращаться в международные судебные органы, чтобы те, в свою очередь, могли «спускать» российским судам свои «директивы» и «рекомендации» о том, как надо «правильно» защищать права детей.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целом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Стратегия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предполагает выработать конкретные механизмы реализации Конвенции о правах ребенка и прочих уже упоминавшихся документов международного права по таким направлениям, как обучение, воспитание и культурное развитие детей (раздел III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); здравоохранение (раздел IV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); защита прав детей-сирот и детей-инвалидов (раздел V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 и целому ряду сопутствующих направлений. 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Для подробного и основательного анализа всех этих направлений «действий в интересах детей» необходимо более фундаментальное исследование, и формата статейного комментария не вполне достаточно. И, тем не менее, можно со всей убежденностью констатировать, как минимум, два основных негативных следствия, которые со всей очевидностью вытекают из существа предложенных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концепций.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Первое – это уничтожение семьи, как единого социального организма, её распыление и атомизация: во-первых, вследствие вмешательства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извне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, либо постоянной угрозы такого вмешательства; во-вторых, вследствие реализации ребенком предоставленных ему прав и неполучения корреспондирующих им естественных запретов и обязательств (с одной стороны), и отсутствия прав влияния и пресечения у родителей (с другой стороны), что с неизбежностью приведет к разложению семьи </w:t>
      </w:r>
      <w:r w:rsidRPr="002172B1">
        <w:rPr>
          <w:rFonts w:eastAsia="Times New Roman" w:cs="Times New Roman"/>
          <w:sz w:val="24"/>
          <w:szCs w:val="24"/>
          <w:u w:val="single"/>
          <w:lang w:eastAsia="ru-RU"/>
        </w:rPr>
        <w:t>изнутри</w:t>
      </w:r>
      <w:r w:rsidRPr="002172B1">
        <w:rPr>
          <w:rFonts w:eastAsia="Times New Roman" w:cs="Times New Roman"/>
          <w:sz w:val="24"/>
          <w:szCs w:val="24"/>
          <w:lang w:eastAsia="ru-RU"/>
        </w:rPr>
        <w:t>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Второе – это развращение детей, как результат воспитания в них эгоцентрического и  потребительского начала, по тем же самым причинам, то есть, вследствие обилия прав и недостатка обязанностей у ребенка из-за раннего ознакомления его с «правами человека» при условии невозможности родителей влиять на ситуацию.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В заключение необходимо отметить, что в целях осуществления всех содержащихся в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установок, предусматривается кардинальная переработка всего текущего </w:t>
      </w:r>
      <w:r w:rsidRPr="002172B1">
        <w:rPr>
          <w:rFonts w:eastAsia="Times New Roman" w:cs="Times New Roman"/>
          <w:sz w:val="24"/>
          <w:szCs w:val="24"/>
          <w:lang w:eastAsia="ru-RU"/>
        </w:rPr>
        <w:lastRenderedPageBreak/>
        <w:t>российского законодательства.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В частности, предполагается: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«Ратификация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   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детей…» (раздел VI, п. 3, абз. 1 и 2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).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Однако нет полной уверенности в том, что все те нормы и принципы, которые заложены в самой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и в указанных документах международного права, а также «общепризнанные международные стандарты» пойдут на пользу нашим детям и нашим семьям. Скорее, есть уверенность в обратном.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 xml:space="preserve">     По крайней мере, одно совершенно ясно – семья, как единый социальный организм и правовой институт, пока еще находящийся под защитой закона,  подвергается в связи с принятием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 xml:space="preserve"> серьезной опасности. Полагаю, не ошибусь, если скажу, что необходимо всеми законными способами противодействовать реализации предложенной </w:t>
      </w:r>
      <w:r w:rsidRPr="002172B1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Стратегии</w:t>
      </w:r>
      <w:r w:rsidRPr="002172B1">
        <w:rPr>
          <w:rFonts w:eastAsia="Times New Roman" w:cs="Times New Roman"/>
          <w:sz w:val="24"/>
          <w:szCs w:val="24"/>
          <w:lang w:eastAsia="ru-RU"/>
        </w:rPr>
        <w:t>.     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</w:t>
      </w:r>
      <w:r w:rsidRPr="002172B1">
        <w:rPr>
          <w:rFonts w:eastAsia="Times New Roman" w:cs="Times New Roman"/>
          <w:sz w:val="24"/>
          <w:szCs w:val="24"/>
          <w:lang w:eastAsia="ru-RU"/>
        </w:rPr>
        <w:br/>
        <w:t>   22 ноября 2012 г.   </w:t>
      </w:r>
    </w:p>
    <w:p w:rsidR="002172B1" w:rsidRDefault="002172B1"/>
    <w:p w:rsidR="002172B1" w:rsidRDefault="002172B1"/>
    <w:p w:rsidR="002172B1" w:rsidRDefault="002172B1"/>
    <w:sectPr w:rsidR="002172B1" w:rsidSect="00B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6EAF"/>
    <w:multiLevelType w:val="multilevel"/>
    <w:tmpl w:val="E5D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1"/>
    <w:rsid w:val="002172B1"/>
    <w:rsid w:val="00580FF5"/>
    <w:rsid w:val="00672C28"/>
    <w:rsid w:val="00B0309F"/>
    <w:rsid w:val="00EC5661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F"/>
  </w:style>
  <w:style w:type="paragraph" w:styleId="4">
    <w:name w:val="heading 4"/>
    <w:basedOn w:val="a"/>
    <w:link w:val="40"/>
    <w:uiPriority w:val="9"/>
    <w:qFormat/>
    <w:rsid w:val="002172B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2B1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2B1"/>
    <w:rPr>
      <w:color w:val="0000FF"/>
      <w:u w:val="single"/>
    </w:rPr>
  </w:style>
  <w:style w:type="paragraph" w:customStyle="1" w:styleId="s16">
    <w:name w:val="s_16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2B1"/>
    <w:rPr>
      <w:b/>
      <w:bCs/>
    </w:rPr>
  </w:style>
  <w:style w:type="character" w:styleId="a6">
    <w:name w:val="Emphasis"/>
    <w:basedOn w:val="a0"/>
    <w:uiPriority w:val="20"/>
    <w:qFormat/>
    <w:rsid w:val="002172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9F"/>
  </w:style>
  <w:style w:type="paragraph" w:styleId="4">
    <w:name w:val="heading 4"/>
    <w:basedOn w:val="a"/>
    <w:link w:val="40"/>
    <w:uiPriority w:val="9"/>
    <w:qFormat/>
    <w:rsid w:val="002172B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72B1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72B1"/>
    <w:rPr>
      <w:color w:val="0000FF"/>
      <w:u w:val="single"/>
    </w:rPr>
  </w:style>
  <w:style w:type="paragraph" w:customStyle="1" w:styleId="s16">
    <w:name w:val="s_16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172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2B1"/>
    <w:rPr>
      <w:b/>
      <w:bCs/>
    </w:rPr>
  </w:style>
  <w:style w:type="character" w:styleId="a6">
    <w:name w:val="Emphasis"/>
    <w:basedOn w:val="a0"/>
    <w:uiPriority w:val="20"/>
    <w:qFormat/>
    <w:rsid w:val="00217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103000/" TargetMode="External"/><Relationship Id="rId18" Type="http://schemas.openxmlformats.org/officeDocument/2006/relationships/hyperlink" Target="http://base.garant.ru/70396478/" TargetMode="External"/><Relationship Id="rId26" Type="http://schemas.openxmlformats.org/officeDocument/2006/relationships/hyperlink" Target="http://base.garant.ru/10354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8401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70183566/" TargetMode="External"/><Relationship Id="rId12" Type="http://schemas.openxmlformats.org/officeDocument/2006/relationships/hyperlink" Target="http://base.garant.ru/70183566/" TargetMode="External"/><Relationship Id="rId17" Type="http://schemas.openxmlformats.org/officeDocument/2006/relationships/hyperlink" Target="http://base.garant.ru/70396478/" TargetMode="External"/><Relationship Id="rId25" Type="http://schemas.openxmlformats.org/officeDocument/2006/relationships/hyperlink" Target="http://base.garant.ru/2540422/" TargetMode="External"/><Relationship Id="rId33" Type="http://schemas.openxmlformats.org/officeDocument/2006/relationships/hyperlink" Target="http://eot.su/node/13228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1961/" TargetMode="External"/><Relationship Id="rId20" Type="http://schemas.openxmlformats.org/officeDocument/2006/relationships/hyperlink" Target="http://base.garant.ru/70243384/" TargetMode="External"/><Relationship Id="rId29" Type="http://schemas.openxmlformats.org/officeDocument/2006/relationships/hyperlink" Target="http://base.garant.ru/701835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2540422/" TargetMode="External"/><Relationship Id="rId32" Type="http://schemas.openxmlformats.org/officeDocument/2006/relationships/hyperlink" Target="http://b23.ru/yd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4365/" TargetMode="External"/><Relationship Id="rId23" Type="http://schemas.openxmlformats.org/officeDocument/2006/relationships/hyperlink" Target="http://base.garant.ru/70359656/" TargetMode="External"/><Relationship Id="rId28" Type="http://schemas.openxmlformats.org/officeDocument/2006/relationships/hyperlink" Target="http://base.garant.ru/191961/" TargetMode="External"/><Relationship Id="rId10" Type="http://schemas.openxmlformats.org/officeDocument/2006/relationships/hyperlink" Target="http://base.garant.ru/70183566/" TargetMode="External"/><Relationship Id="rId19" Type="http://schemas.openxmlformats.org/officeDocument/2006/relationships/hyperlink" Target="http://base.garant.ru/70243384/" TargetMode="External"/><Relationship Id="rId31" Type="http://schemas.openxmlformats.org/officeDocument/2006/relationships/hyperlink" Target="http://b23.ru/yu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42628/" TargetMode="External"/><Relationship Id="rId14" Type="http://schemas.openxmlformats.org/officeDocument/2006/relationships/hyperlink" Target="http://base.garant.ru/2540422/" TargetMode="External"/><Relationship Id="rId22" Type="http://schemas.openxmlformats.org/officeDocument/2006/relationships/hyperlink" Target="http://base.garant.ru/4089570/" TargetMode="External"/><Relationship Id="rId27" Type="http://schemas.openxmlformats.org/officeDocument/2006/relationships/hyperlink" Target="http://base.garant.ru/194365/" TargetMode="External"/><Relationship Id="rId30" Type="http://schemas.openxmlformats.org/officeDocument/2006/relationships/hyperlink" Target="http://graph.document.kremlin.ru/page.aspx?1;161366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17626</Words>
  <Characters>100471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ds39</Company>
  <LinksUpToDate>false</LinksUpToDate>
  <CharactersWithSpaces>117862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Deloproisvoditel</dc:creator>
  <cp:lastModifiedBy>Учитель</cp:lastModifiedBy>
  <cp:revision>2</cp:revision>
  <dcterms:created xsi:type="dcterms:W3CDTF">2017-03-09T04:55:00Z</dcterms:created>
  <dcterms:modified xsi:type="dcterms:W3CDTF">2017-03-09T04:55:00Z</dcterms:modified>
</cp:coreProperties>
</file>